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0" w:rsidRPr="00AC4870" w:rsidRDefault="00CC40C4" w:rsidP="00AC4870">
      <w:pPr>
        <w:widowControl/>
        <w:shd w:val="clear" w:color="auto" w:fill="FFFFFF"/>
        <w:spacing w:after="61" w:line="266" w:lineRule="atLeast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lang w:bidi="ar-SA"/>
        </w:rPr>
        <w:drawing>
          <wp:inline distT="0" distB="0" distL="0" distR="0">
            <wp:extent cx="6296025" cy="8731750"/>
            <wp:effectExtent l="0" t="0" r="0" b="0"/>
            <wp:docPr id="3" name="Рисунок 3" descr="C:\Users\777\Desktop\Перечень положений\дагма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Перечень положений\дагма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C4" w:rsidRDefault="00CC40C4" w:rsidP="00CC40C4">
      <w:pPr>
        <w:tabs>
          <w:tab w:val="left" w:pos="1158"/>
        </w:tabs>
        <w:spacing w:line="322" w:lineRule="exact"/>
        <w:jc w:val="both"/>
      </w:pPr>
      <w:r>
        <w:rPr>
          <w:noProof/>
          <w:lang w:bidi="ar-SA"/>
        </w:rPr>
        <w:drawing>
          <wp:inline distT="0" distB="0" distL="0" distR="0">
            <wp:extent cx="6296025" cy="8731750"/>
            <wp:effectExtent l="0" t="0" r="0" b="0"/>
            <wp:docPr id="2" name="Рисунок 2" descr="C:\Users\777\Desktop\Перечень положений\дагма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Перечень положений\дагма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C4" w:rsidRPr="00CC40C4" w:rsidRDefault="00CC40C4" w:rsidP="00CC40C4">
      <w:pPr>
        <w:tabs>
          <w:tab w:val="left" w:pos="1158"/>
        </w:tabs>
        <w:spacing w:line="322" w:lineRule="exact"/>
        <w:jc w:val="both"/>
      </w:pPr>
    </w:p>
    <w:p w:rsidR="00AC4870" w:rsidRDefault="00CC40C4" w:rsidP="00CC40C4">
      <w:pPr>
        <w:tabs>
          <w:tab w:val="left" w:pos="1158"/>
        </w:tabs>
        <w:spacing w:line="322" w:lineRule="exact"/>
        <w:jc w:val="both"/>
      </w:pPr>
      <w:proofErr w:type="gramStart"/>
      <w:r>
        <w:rPr>
          <w:rStyle w:val="2"/>
          <w:rFonts w:eastAsia="Arial Unicode MS"/>
        </w:rPr>
        <w:lastRenderedPageBreak/>
        <w:t>2.3.</w:t>
      </w:r>
      <w:r w:rsidR="00AC4870">
        <w:rPr>
          <w:rStyle w:val="2"/>
          <w:rFonts w:eastAsia="Arial Unicode MS"/>
        </w:rPr>
        <w:t>Администрация ДОУ и (или) представители интересов ДОУ,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 письменной (в виде объявления, официального письма) форме.</w:t>
      </w:r>
      <w:proofErr w:type="gramEnd"/>
    </w:p>
    <w:p w:rsidR="00AC4870" w:rsidRDefault="00AC4870" w:rsidP="00AC4870">
      <w:pPr>
        <w:ind w:firstLine="620"/>
        <w:jc w:val="both"/>
      </w:pPr>
      <w:r>
        <w:rPr>
          <w:rStyle w:val="2"/>
          <w:rFonts w:eastAsia="Arial Unicode MS"/>
        </w:rPr>
        <w:t>При обращении за оказанием помощи, учреждение должно обязательно проинформировать Жертвователей о целях привлечения помощи: осуществление текущего ремонта, укрепление материальной базы, проведение мероприятий и т. д.</w:t>
      </w:r>
    </w:p>
    <w:p w:rsidR="00AC4870" w:rsidRDefault="00CC40C4" w:rsidP="00CC40C4">
      <w:pPr>
        <w:tabs>
          <w:tab w:val="left" w:pos="1286"/>
        </w:tabs>
        <w:spacing w:line="322" w:lineRule="exact"/>
        <w:jc w:val="both"/>
      </w:pPr>
      <w:r>
        <w:rPr>
          <w:rStyle w:val="2"/>
          <w:rFonts w:eastAsia="Arial Unicode MS"/>
        </w:rPr>
        <w:t>2.4.</w:t>
      </w:r>
      <w:r w:rsidR="00AC4870" w:rsidRPr="00CC40C4">
        <w:rPr>
          <w:rStyle w:val="2"/>
          <w:rFonts w:eastAsia="Arial Unicode MS"/>
        </w:rPr>
        <w:t>Пожертвования могут привлекаться учреждением только на добровольной основе. Отказ в оказании помощи или внесении добровольных пожертвований не может сопровождаться какими-либо последствиями для воспитанников.</w:t>
      </w:r>
    </w:p>
    <w:p w:rsidR="00AC4870" w:rsidRDefault="00CC40C4" w:rsidP="00CC40C4">
      <w:pPr>
        <w:spacing w:after="300" w:line="317" w:lineRule="exact"/>
        <w:jc w:val="both"/>
      </w:pPr>
      <w:r>
        <w:rPr>
          <w:rStyle w:val="2"/>
          <w:rFonts w:eastAsia="Arial Unicode MS"/>
        </w:rPr>
        <w:t>2.5.</w:t>
      </w:r>
      <w:bookmarkStart w:id="0" w:name="_GoBack"/>
      <w:bookmarkEnd w:id="0"/>
      <w:r w:rsidR="00AC4870">
        <w:rPr>
          <w:rStyle w:val="2"/>
          <w:rFonts w:eastAsia="Arial Unicode MS"/>
        </w:rPr>
        <w:t xml:space="preserve"> Благотворительная помощь может выражаться в добровольном безвозмездном личном труде Жертвователей (в т. ч. родителей) по ремонту помещений учреждения, уборке помещений учреждения и прилегающей к зданию учреждения территории, в ведении подготовительных курсов, кружков, секций, оформительских и других работ, оказании помощи в проведении мероприятий и т. д.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1727"/>
        </w:tabs>
        <w:spacing w:after="296" w:line="317" w:lineRule="exact"/>
        <w:ind w:left="1940" w:hanging="540"/>
        <w:outlineLvl w:val="0"/>
      </w:pPr>
      <w:bookmarkStart w:id="1" w:name="bookmark4"/>
      <w:r>
        <w:rPr>
          <w:rStyle w:val="1"/>
          <w:rFonts w:eastAsia="Arial Unicode MS"/>
          <w:b w:val="0"/>
          <w:bCs w:val="0"/>
        </w:rPr>
        <w:t>ПОРЯДОК ПРИЕМА И УЧЕТА ДОБРОВОЛЬНЫХ ПОЖЕРТВОВАНИЙ (ЦЕЛЕВЫХ ВЗНОСОВ)</w:t>
      </w:r>
      <w:bookmarkEnd w:id="1"/>
    </w:p>
    <w:p w:rsidR="00AC4870" w:rsidRDefault="00AC4870" w:rsidP="00AC4870">
      <w:pPr>
        <w:numPr>
          <w:ilvl w:val="1"/>
          <w:numId w:val="2"/>
        </w:numPr>
        <w:spacing w:line="322" w:lineRule="exact"/>
        <w:ind w:firstLine="620"/>
        <w:jc w:val="both"/>
      </w:pPr>
      <w:r>
        <w:rPr>
          <w:rStyle w:val="2"/>
          <w:rFonts w:eastAsia="Arial Unicode MS"/>
        </w:rPr>
        <w:t xml:space="preserve"> Пожертвования в виде денежных средств от физических лиц передаются в учреждение на основании заявления о пожертвовании, от юридических лиц - на основании договора пожертвования. Договор добровольного пожертвования с физическим лицом может быть заключен по желанию гражданина.</w:t>
      </w:r>
    </w:p>
    <w:p w:rsidR="00AC4870" w:rsidRDefault="00AC4870" w:rsidP="00AC4870">
      <w:pPr>
        <w:numPr>
          <w:ilvl w:val="1"/>
          <w:numId w:val="2"/>
        </w:numPr>
        <w:tabs>
          <w:tab w:val="left" w:pos="1158"/>
        </w:tabs>
        <w:spacing w:line="317" w:lineRule="exact"/>
        <w:ind w:firstLine="620"/>
        <w:jc w:val="both"/>
      </w:pPr>
      <w:r>
        <w:rPr>
          <w:rStyle w:val="2"/>
          <w:rFonts w:eastAsia="Arial Unicode MS"/>
        </w:rPr>
        <w:t>Пожертвования в виде денежных средств вносятся физическими лицами в кассу учреждения.</w:t>
      </w:r>
    </w:p>
    <w:p w:rsidR="00AC4870" w:rsidRDefault="00AC4870" w:rsidP="00AC4870">
      <w:pPr>
        <w:ind w:firstLine="620"/>
        <w:jc w:val="both"/>
      </w:pPr>
      <w:r>
        <w:rPr>
          <w:rStyle w:val="2"/>
          <w:rFonts w:eastAsia="Arial Unicode MS"/>
        </w:rPr>
        <w:t>Пожертвования в безналичном порядке вносятся Жертвователями на лицевой счет учреждения через учреждения банков, иных кредитных организаций, отделения «Почты России». В платежном документе может быть указано целевое назначение взноса.</w:t>
      </w:r>
    </w:p>
    <w:p w:rsidR="00AC4870" w:rsidRDefault="00AC4870" w:rsidP="00AC4870">
      <w:pPr>
        <w:numPr>
          <w:ilvl w:val="1"/>
          <w:numId w:val="2"/>
        </w:numPr>
        <w:tabs>
          <w:tab w:val="left" w:pos="1158"/>
        </w:tabs>
        <w:spacing w:line="317" w:lineRule="exact"/>
        <w:ind w:firstLine="620"/>
        <w:jc w:val="both"/>
      </w:pPr>
      <w:r>
        <w:rPr>
          <w:rStyle w:val="2"/>
          <w:rFonts w:eastAsia="Arial Unicode MS"/>
        </w:rPr>
        <w:t>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AC4870" w:rsidRDefault="00AC4870" w:rsidP="00AC4870">
      <w:pPr>
        <w:ind w:firstLine="620"/>
        <w:jc w:val="both"/>
      </w:pPr>
      <w:r>
        <w:rPr>
          <w:rStyle w:val="2"/>
          <w:rFonts w:eastAsia="Arial Unicode MS"/>
        </w:rPr>
        <w:t>Стоимость передаваемого имущества, вещи или имущественных прав определяется сторонами договора.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382"/>
        </w:tabs>
        <w:spacing w:line="317" w:lineRule="exact"/>
        <w:jc w:val="both"/>
        <w:outlineLvl w:val="0"/>
      </w:pPr>
      <w:bookmarkStart w:id="2" w:name="bookmark5"/>
      <w:r>
        <w:rPr>
          <w:rStyle w:val="1"/>
          <w:rFonts w:eastAsia="Arial Unicode MS"/>
          <w:b w:val="0"/>
          <w:bCs w:val="0"/>
        </w:rPr>
        <w:t xml:space="preserve">ПОРЯДОК РАСХОДОВАНИЯ </w:t>
      </w:r>
      <w:r>
        <w:t>ДОБРОВОЛЬНЫХ ПОЖЕРТВОВАНИЙ</w:t>
      </w:r>
      <w:bookmarkEnd w:id="2"/>
    </w:p>
    <w:p w:rsidR="00AC4870" w:rsidRDefault="00AC4870" w:rsidP="00AC4870">
      <w:pPr>
        <w:keepNext/>
        <w:keepLines/>
        <w:ind w:left="20"/>
      </w:pPr>
      <w:bookmarkStart w:id="3" w:name="bookmark6"/>
      <w:r>
        <w:rPr>
          <w:rStyle w:val="1"/>
          <w:rFonts w:eastAsia="Arial Unicode MS"/>
          <w:b w:val="0"/>
          <w:bCs w:val="0"/>
        </w:rPr>
        <w:t>(ЦЕЛЕВЫХ ВЗНОСОВ)</w:t>
      </w:r>
      <w:bookmarkEnd w:id="3"/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Расходование привлеченных средств должно производиться строго в соответствии с целевым назначением.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Если цели добровольного пожертвования не обозначены, то они используются учреждением по согласованию с родительским комитетом:</w:t>
      </w:r>
    </w:p>
    <w:p w:rsidR="00AC4870" w:rsidRDefault="00AC4870" w:rsidP="00AC4870">
      <w:pPr>
        <w:numPr>
          <w:ilvl w:val="0"/>
          <w:numId w:val="3"/>
        </w:numPr>
        <w:tabs>
          <w:tab w:val="left" w:pos="919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lastRenderedPageBreak/>
        <w:t>на реализацию программы развития учреждения;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улучшение материально-технического обеспечения;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ремонтно-строительные работы;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организацию воспитательного и образовательного процесса;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проведение мероприятий;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благоустройство территории;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содержание и обслуживание множительной техники;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материальное стимулирование сотрудников учреждения;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поощрение воспитанников;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приобретение: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-книг и учебно-методических пособий;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-технических средств обучения;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-мебели, инструментов и оборудования;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-канцтоваров и хозяйственных материалов;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-наглядных пособий.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</w:t>
      </w:r>
      <w:proofErr w:type="gramStart"/>
      <w:r>
        <w:rPr>
          <w:rStyle w:val="2"/>
          <w:rFonts w:eastAsia="Arial Unicode MS"/>
        </w:rPr>
        <w:t>а-</w:t>
      </w:r>
      <w:proofErr w:type="gramEnd"/>
      <w:r>
        <w:rPr>
          <w:rStyle w:val="2"/>
          <w:rFonts w:eastAsia="Arial Unicode MS"/>
        </w:rPr>
        <w:t xml:space="preserve"> жертвователя или ликвидации юридического лица - жертвователя - по решению суда.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Использование привлеченных средств должно осуществляться в соответствии с утвержденным планом финансово-хозяйственной деятельности.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after="296" w:line="317" w:lineRule="exact"/>
        <w:ind w:firstLine="580"/>
        <w:jc w:val="both"/>
      </w:pPr>
      <w:r>
        <w:rPr>
          <w:rStyle w:val="2"/>
          <w:rFonts w:eastAsia="Arial Unicode MS"/>
        </w:rPr>
        <w:t>Не допускается направление добровольных пожертвований на увеличение фонда заработной платы сотрудников учреждения, оказание им материальной помощи.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1482"/>
        </w:tabs>
        <w:spacing w:after="304" w:line="322" w:lineRule="exact"/>
        <w:ind w:left="980" w:firstLine="120"/>
        <w:outlineLvl w:val="0"/>
      </w:pPr>
      <w:bookmarkStart w:id="4" w:name="bookmark7"/>
      <w:r>
        <w:rPr>
          <w:rStyle w:val="1"/>
          <w:rFonts w:eastAsia="Arial Unicode MS"/>
          <w:b w:val="0"/>
          <w:bCs w:val="0"/>
        </w:rPr>
        <w:t>ОТВЕТСТВЕННОСТЬ И ОБЕСПЕЧЕНИЕ КОНТРОЛЯ РАСХОДОВАНИЯ ДОБРОВОЛЬНЫХ ПОЖЕРТВОВАНИЙ</w:t>
      </w:r>
      <w:bookmarkEnd w:id="4"/>
    </w:p>
    <w:p w:rsidR="00AC4870" w:rsidRDefault="00AC4870" w:rsidP="00AC4870">
      <w:pPr>
        <w:numPr>
          <w:ilvl w:val="1"/>
          <w:numId w:val="2"/>
        </w:numPr>
        <w:tabs>
          <w:tab w:val="left" w:pos="1383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Не допускается использование добровольных пожертвований учреждения на цели, не соответствующие уставной деятельности и пожеланию Жертвователя.</w:t>
      </w:r>
    </w:p>
    <w:p w:rsidR="00AC4870" w:rsidRDefault="00AC4870" w:rsidP="00AC4870">
      <w:pPr>
        <w:ind w:firstLine="580"/>
        <w:jc w:val="both"/>
      </w:pPr>
      <w:r>
        <w:rPr>
          <w:rStyle w:val="2"/>
          <w:rFonts w:eastAsia="Arial Unicode MS"/>
        </w:rPr>
        <w:t>Использование пожертвованного имущества не 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22" w:lineRule="exact"/>
        <w:ind w:firstLine="600"/>
        <w:jc w:val="both"/>
      </w:pPr>
      <w:r>
        <w:rPr>
          <w:rStyle w:val="2"/>
          <w:rFonts w:eastAsia="Arial Unicode MS"/>
        </w:rPr>
        <w:t>По просьбе Жертвователя учреждение предоставляет ему информацию об использовании пожертвования.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22" w:lineRule="exact"/>
        <w:ind w:firstLine="600"/>
        <w:jc w:val="both"/>
      </w:pPr>
      <w:r>
        <w:rPr>
          <w:rStyle w:val="2"/>
          <w:rFonts w:eastAsia="Arial Unicode MS"/>
        </w:rPr>
        <w:t>Родительский комитет и его члены в соответствии с их компетенцией могут осуществлять контроль за переданными учреждению средствами. Администрация учреждения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</w:t>
      </w:r>
    </w:p>
    <w:p w:rsidR="00AC4870" w:rsidRDefault="00AC4870" w:rsidP="00AC4870">
      <w:pPr>
        <w:spacing w:line="322" w:lineRule="exact"/>
        <w:ind w:firstLine="600"/>
        <w:jc w:val="both"/>
      </w:pPr>
      <w:r>
        <w:rPr>
          <w:rStyle w:val="2"/>
          <w:rFonts w:eastAsia="Arial Unicode MS"/>
        </w:rPr>
        <w:t xml:space="preserve">При привлечении добровольных взносов родителей на ремонт учреждения и </w:t>
      </w:r>
      <w:r>
        <w:rPr>
          <w:rStyle w:val="2"/>
          <w:rFonts w:eastAsia="Arial Unicode MS"/>
        </w:rPr>
        <w:lastRenderedPageBreak/>
        <w:t xml:space="preserve">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 на собраниях и г. </w:t>
      </w:r>
      <w:r>
        <w:rPr>
          <w:rStyle w:val="2FranklinGothicDemi12pt1pt"/>
        </w:rPr>
        <w:t>д.</w:t>
      </w:r>
    </w:p>
    <w:p w:rsidR="00AC4870" w:rsidRDefault="00AC4870" w:rsidP="00AC4870">
      <w:pPr>
        <w:numPr>
          <w:ilvl w:val="1"/>
          <w:numId w:val="2"/>
        </w:numPr>
        <w:tabs>
          <w:tab w:val="left" w:pos="1315"/>
        </w:tabs>
        <w:spacing w:after="333" w:line="322" w:lineRule="exact"/>
        <w:ind w:firstLine="600"/>
        <w:jc w:val="both"/>
      </w:pPr>
      <w:r>
        <w:rPr>
          <w:rStyle w:val="2"/>
          <w:rFonts w:eastAsia="Arial Unicode MS"/>
        </w:rPr>
        <w:t>Ответственность за нецелевое использование добровольных пожертвований несет руководитель учреждения.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3087"/>
        </w:tabs>
        <w:spacing w:after="303" w:line="280" w:lineRule="exact"/>
        <w:ind w:left="2760"/>
        <w:jc w:val="both"/>
        <w:outlineLvl w:val="0"/>
      </w:pPr>
      <w:bookmarkStart w:id="5" w:name="bookmark8"/>
      <w:r>
        <w:rPr>
          <w:rStyle w:val="1"/>
          <w:rFonts w:eastAsia="Arial Unicode MS"/>
          <w:b w:val="0"/>
          <w:bCs w:val="0"/>
        </w:rPr>
        <w:t>ЗАКЛЮЧИТЕЛЬНАЯ ЧАСТЬ</w:t>
      </w:r>
      <w:bookmarkEnd w:id="5"/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Положение о добровольных пожертвованиях ДОУ, а также изменения и дополнения к нему принимаются на заседании педагогического совета с участием представителей родительского комитета и утверждаются приказом по учреждению.</w:t>
      </w:r>
    </w:p>
    <w:p w:rsidR="00AC4870" w:rsidRDefault="00AC4870" w:rsidP="00AC4870">
      <w:pPr>
        <w:numPr>
          <w:ilvl w:val="1"/>
          <w:numId w:val="2"/>
        </w:numPr>
        <w:tabs>
          <w:tab w:val="left" w:pos="1129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Срок действия данного Положения не ограничен.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Настоящее Положение может быть отменено только решением руководителя учреждения.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Настоящее Положение вступает в силу с момента его утверждения и действует бессрочно.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С текстом настоящего Положения работники ДОУ отдела должны быть ознакомлены под подпись.</w:t>
      </w:r>
    </w:p>
    <w:p w:rsidR="00737636" w:rsidRDefault="00737636"/>
    <w:sectPr w:rsidR="00737636" w:rsidSect="00AC4870">
      <w:pgSz w:w="11900" w:h="16840"/>
      <w:pgMar w:top="1134" w:right="851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303"/>
    <w:multiLevelType w:val="multilevel"/>
    <w:tmpl w:val="A9222F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66C6A"/>
    <w:multiLevelType w:val="multilevel"/>
    <w:tmpl w:val="C5166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E7666"/>
    <w:multiLevelType w:val="multilevel"/>
    <w:tmpl w:val="10C4B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81CC8"/>
    <w:multiLevelType w:val="multilevel"/>
    <w:tmpl w:val="BA58503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70"/>
    <w:rsid w:val="00737636"/>
    <w:rsid w:val="00AC4870"/>
    <w:rsid w:val="00CC40C4"/>
    <w:rsid w:val="00D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8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C4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4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1pt">
    <w:name w:val="Основной текст (2) + Franklin Gothic Demi;12 pt;Интервал 1 pt"/>
    <w:basedOn w:val="a0"/>
    <w:rsid w:val="00AC48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C4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7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CC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8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C4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4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1pt">
    <w:name w:val="Основной текст (2) + Franklin Gothic Demi;12 pt;Интервал 1 pt"/>
    <w:basedOn w:val="a0"/>
    <w:rsid w:val="00AC48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C4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7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CC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2023-10-19T08:01:00Z</cp:lastPrinted>
  <dcterms:created xsi:type="dcterms:W3CDTF">2023-10-19T08:13:00Z</dcterms:created>
  <dcterms:modified xsi:type="dcterms:W3CDTF">2023-10-19T08:26:00Z</dcterms:modified>
</cp:coreProperties>
</file>